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96C77" w14:textId="0AEB5B7A" w:rsidR="00DF578B" w:rsidRPr="00F957DE" w:rsidRDefault="00F957DE" w:rsidP="00F957DE">
      <w:pPr>
        <w:jc w:val="right"/>
        <w:rPr>
          <w:rFonts w:ascii="標楷體" w:eastAsia="標楷體" w:hAnsi="標楷體"/>
          <w:lang w:eastAsia="zh-TW"/>
        </w:rPr>
      </w:pPr>
      <w:r w:rsidRPr="00F957DE">
        <w:rPr>
          <w:rFonts w:ascii="標楷體" w:eastAsia="標楷體" w:hAnsi="標楷體" w:hint="eastAsia"/>
          <w:sz w:val="28"/>
          <w:szCs w:val="32"/>
          <w:lang w:eastAsia="zh-TW"/>
        </w:rPr>
        <w:t>申請日期</w:t>
      </w:r>
      <w:r w:rsidRPr="00F957DE">
        <w:rPr>
          <w:rFonts w:ascii="標楷體" w:eastAsia="標楷體" w:hAnsi="標楷體"/>
          <w:sz w:val="28"/>
          <w:szCs w:val="32"/>
          <w:lang w:eastAsia="zh-TW"/>
        </w:rPr>
        <w:tab/>
      </w:r>
      <w:r w:rsidRPr="00F957DE">
        <w:rPr>
          <w:rFonts w:ascii="標楷體" w:eastAsia="標楷體" w:hAnsi="標楷體" w:hint="eastAsia"/>
          <w:sz w:val="28"/>
          <w:szCs w:val="32"/>
          <w:lang w:eastAsia="zh-TW"/>
        </w:rPr>
        <w:t>年</w:t>
      </w:r>
      <w:r w:rsidRPr="00F957DE">
        <w:rPr>
          <w:rFonts w:ascii="標楷體" w:eastAsia="標楷體" w:hAnsi="標楷體"/>
          <w:sz w:val="28"/>
          <w:szCs w:val="32"/>
          <w:lang w:eastAsia="zh-TW"/>
        </w:rPr>
        <w:tab/>
      </w:r>
      <w:r w:rsidRPr="00F957DE">
        <w:rPr>
          <w:rFonts w:ascii="標楷體" w:eastAsia="標楷體" w:hAnsi="標楷體" w:hint="eastAsia"/>
          <w:sz w:val="28"/>
          <w:szCs w:val="32"/>
          <w:lang w:eastAsia="zh-TW"/>
        </w:rPr>
        <w:t>月</w:t>
      </w:r>
      <w:r w:rsidRPr="00F957DE">
        <w:rPr>
          <w:rFonts w:ascii="標楷體" w:eastAsia="標楷體" w:hAnsi="標楷體"/>
          <w:sz w:val="28"/>
          <w:szCs w:val="32"/>
          <w:lang w:eastAsia="zh-TW"/>
        </w:rPr>
        <w:tab/>
      </w:r>
      <w:r w:rsidRPr="00F957DE">
        <w:rPr>
          <w:rFonts w:ascii="標楷體" w:eastAsia="標楷體" w:hAnsi="標楷體" w:hint="eastAsia"/>
          <w:sz w:val="28"/>
          <w:szCs w:val="32"/>
          <w:lang w:eastAsia="zh-TW"/>
        </w:rPr>
        <w:t>日</w:t>
      </w:r>
    </w:p>
    <w:tbl>
      <w:tblPr>
        <w:tblW w:w="9667" w:type="dxa"/>
        <w:tblInd w:w="28" w:type="dxa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CellMar>
          <w:left w:w="13" w:type="dxa"/>
          <w:right w:w="28" w:type="dxa"/>
        </w:tblCellMar>
        <w:tblLook w:val="0000" w:firstRow="0" w:lastRow="0" w:firstColumn="0" w:lastColumn="0" w:noHBand="0" w:noVBand="0"/>
      </w:tblPr>
      <w:tblGrid>
        <w:gridCol w:w="2255"/>
        <w:gridCol w:w="3441"/>
        <w:gridCol w:w="1054"/>
        <w:gridCol w:w="2917"/>
      </w:tblGrid>
      <w:tr w:rsidR="00DF578B" w14:paraId="70390C98" w14:textId="77777777">
        <w:trPr>
          <w:cantSplit/>
          <w:trHeight w:val="537"/>
        </w:trPr>
        <w:tc>
          <w:tcPr>
            <w:tcW w:w="966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14:paraId="5F12D317" w14:textId="77777777" w:rsidR="00DF578B" w:rsidRDefault="0000000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34"/>
                <w:szCs w:val="34"/>
                <w:lang w:eastAsia="zh-TW"/>
              </w:rPr>
            </w:pPr>
            <w:r>
              <w:rPr>
                <w:rFonts w:ascii="標楷體" w:eastAsia="標楷體" w:hAnsi="標楷體"/>
                <w:b/>
                <w:bCs/>
                <w:sz w:val="34"/>
                <w:szCs w:val="34"/>
                <w:lang w:eastAsia="zh-TW"/>
              </w:rPr>
              <w:t>花蓮縣總重15噸以上(含)大貨車及聯結車臨時通行證申請書</w:t>
            </w:r>
          </w:p>
        </w:tc>
      </w:tr>
      <w:tr w:rsidR="00DF578B" w14:paraId="6AD0CE6B" w14:textId="77777777" w:rsidTr="00F957DE">
        <w:trPr>
          <w:trHeight w:val="1150"/>
        </w:trPr>
        <w:tc>
          <w:tcPr>
            <w:tcW w:w="22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14:paraId="57A50AFE" w14:textId="77777777" w:rsidR="00DF578B" w:rsidRDefault="00000000">
            <w:pPr>
              <w:pStyle w:val="a9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事</w:t>
            </w:r>
            <w:r>
              <w:rPr>
                <w:rFonts w:eastAsia="標楷體"/>
                <w:sz w:val="28"/>
                <w:szCs w:val="28"/>
              </w:rPr>
              <w:t xml:space="preserve">       </w:t>
            </w:r>
            <w:r>
              <w:rPr>
                <w:rFonts w:eastAsia="標楷體"/>
                <w:sz w:val="28"/>
                <w:szCs w:val="28"/>
              </w:rPr>
              <w:t>由</w:t>
            </w:r>
          </w:p>
          <w:p w14:paraId="71A3A223" w14:textId="77777777" w:rsidR="00DF578B" w:rsidRDefault="00000000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</w:rPr>
              <w:t>（</w:t>
            </w:r>
            <w:proofErr w:type="spellStart"/>
            <w:r>
              <w:rPr>
                <w:rFonts w:ascii="標楷體" w:eastAsia="標楷體" w:hAnsi="標楷體"/>
              </w:rPr>
              <w:t>工程名稱</w:t>
            </w:r>
            <w:proofErr w:type="spellEnd"/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14:paraId="2D902030" w14:textId="77777777" w:rsidR="00DF578B" w:rsidRDefault="00DF578B">
            <w:pPr>
              <w:spacing w:line="48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14:paraId="0D2F9480" w14:textId="77777777" w:rsidR="00DF578B" w:rsidRDefault="00000000">
            <w:pPr>
              <w:pStyle w:val="a9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物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品</w:t>
            </w:r>
          </w:p>
          <w:p w14:paraId="7560BBC7" w14:textId="77777777" w:rsidR="00DF578B" w:rsidRDefault="00000000">
            <w:pPr>
              <w:pStyle w:val="a9"/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名 稱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23" w:type="dxa"/>
            </w:tcMar>
          </w:tcPr>
          <w:p w14:paraId="1B10B3DC" w14:textId="77777777" w:rsidR="00DF578B" w:rsidRDefault="00DF578B">
            <w:pPr>
              <w:spacing w:line="480" w:lineRule="exact"/>
              <w:rPr>
                <w:rFonts w:ascii="標楷體" w:eastAsia="標楷體" w:hAnsi="標楷體"/>
                <w:sz w:val="32"/>
              </w:rPr>
            </w:pPr>
          </w:p>
        </w:tc>
      </w:tr>
      <w:tr w:rsidR="00DF578B" w14:paraId="1B2F936E" w14:textId="77777777" w:rsidTr="00F957DE">
        <w:trPr>
          <w:cantSplit/>
          <w:trHeight w:val="660"/>
        </w:trPr>
        <w:tc>
          <w:tcPr>
            <w:tcW w:w="22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14:paraId="678BD45B" w14:textId="39E57B75" w:rsidR="00DF578B" w:rsidRDefault="00000000">
            <w:pPr>
              <w:pStyle w:val="a9"/>
              <w:spacing w:after="0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/>
                <w:sz w:val="28"/>
                <w:szCs w:val="28"/>
              </w:rPr>
              <w:t>申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請</w:t>
            </w:r>
            <w:proofErr w:type="gramEnd"/>
            <w:r>
              <w:rPr>
                <w:rFonts w:eastAsia="標楷體"/>
                <w:sz w:val="28"/>
                <w:szCs w:val="28"/>
              </w:rPr>
              <w:t xml:space="preserve">  </w:t>
            </w:r>
            <w:proofErr w:type="spellStart"/>
            <w:r w:rsidR="00F957DE" w:rsidRPr="00F957DE">
              <w:rPr>
                <w:rFonts w:eastAsia="標楷體" w:hint="eastAsia"/>
                <w:spacing w:val="70"/>
                <w:sz w:val="28"/>
                <w:szCs w:val="28"/>
                <w:fitText w:val="1333" w:id="-867421948"/>
              </w:rPr>
              <w:t>通行期</w:t>
            </w:r>
            <w:r w:rsidR="00F957DE" w:rsidRPr="00F957DE">
              <w:rPr>
                <w:rFonts w:eastAsia="標楷體" w:hint="eastAsia"/>
                <w:spacing w:val="3"/>
                <w:sz w:val="28"/>
                <w:szCs w:val="28"/>
                <w:fitText w:val="1333" w:id="-867421948"/>
              </w:rPr>
              <w:t>間</w:t>
            </w:r>
            <w:proofErr w:type="spellEnd"/>
          </w:p>
        </w:tc>
        <w:tc>
          <w:tcPr>
            <w:tcW w:w="7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23" w:type="dxa"/>
            </w:tcMar>
          </w:tcPr>
          <w:p w14:paraId="7A5EA011" w14:textId="77777777" w:rsidR="00DF578B" w:rsidRDefault="00000000">
            <w:pPr>
              <w:pStyle w:val="a9"/>
              <w:spacing w:after="0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自　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 xml:space="preserve">　年　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　月　　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標楷體"/>
                <w:sz w:val="28"/>
                <w:szCs w:val="28"/>
              </w:rPr>
              <w:t>日起至</w:t>
            </w:r>
            <w:proofErr w:type="spellEnd"/>
            <w:r>
              <w:rPr>
                <w:rFonts w:eastAsia="標楷體"/>
                <w:sz w:val="28"/>
                <w:szCs w:val="28"/>
              </w:rPr>
              <w:t xml:space="preserve">　　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年　　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月　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　</w:t>
            </w:r>
            <w:proofErr w:type="spellStart"/>
            <w:r>
              <w:rPr>
                <w:rFonts w:eastAsia="標楷體"/>
                <w:sz w:val="28"/>
                <w:szCs w:val="28"/>
              </w:rPr>
              <w:t>日止</w:t>
            </w:r>
            <w:proofErr w:type="spellEnd"/>
          </w:p>
        </w:tc>
      </w:tr>
      <w:tr w:rsidR="00DF578B" w14:paraId="3C9B8B7F" w14:textId="77777777" w:rsidTr="00F957DE">
        <w:trPr>
          <w:trHeight w:val="469"/>
        </w:trPr>
        <w:tc>
          <w:tcPr>
            <w:tcW w:w="22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3" w:type="dxa"/>
            </w:tcMar>
          </w:tcPr>
          <w:p w14:paraId="0B37A221" w14:textId="77777777" w:rsidR="00DF578B" w:rsidRDefault="00000000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sz w:val="28"/>
                <w:szCs w:val="28"/>
              </w:rPr>
              <w:t>公司行號</w:t>
            </w:r>
            <w:proofErr w:type="spellEnd"/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14:paraId="7053842F" w14:textId="77777777" w:rsidR="00DF578B" w:rsidRDefault="00DF578B">
            <w:pPr>
              <w:spacing w:line="48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23" w:type="dxa"/>
            </w:tcMar>
          </w:tcPr>
          <w:p w14:paraId="4F02E1C1" w14:textId="77777777" w:rsidR="00DF578B" w:rsidRDefault="0000000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sz w:val="28"/>
                <w:szCs w:val="28"/>
              </w:rPr>
              <w:t>用印處</w:t>
            </w:r>
            <w:proofErr w:type="spellEnd"/>
          </w:p>
        </w:tc>
      </w:tr>
      <w:tr w:rsidR="00DF578B" w14:paraId="591A4BF7" w14:textId="77777777" w:rsidTr="00F957DE">
        <w:trPr>
          <w:cantSplit/>
          <w:trHeight w:val="660"/>
        </w:trPr>
        <w:tc>
          <w:tcPr>
            <w:tcW w:w="22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3" w:type="dxa"/>
            </w:tcMar>
          </w:tcPr>
          <w:p w14:paraId="36434D92" w14:textId="77777777" w:rsidR="00DF578B" w:rsidRDefault="00000000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sz w:val="28"/>
                <w:szCs w:val="28"/>
              </w:rPr>
              <w:t>負責人</w:t>
            </w:r>
            <w:proofErr w:type="spellEnd"/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14:paraId="4F03A9FD" w14:textId="77777777" w:rsidR="00DF578B" w:rsidRDefault="00DF578B">
            <w:pPr>
              <w:spacing w:line="48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23" w:type="dxa"/>
            </w:tcMar>
          </w:tcPr>
          <w:p w14:paraId="5A9D217B" w14:textId="77777777" w:rsidR="00DF578B" w:rsidRDefault="00DF578B">
            <w:pPr>
              <w:spacing w:line="480" w:lineRule="exact"/>
              <w:rPr>
                <w:rFonts w:ascii="標楷體" w:eastAsia="標楷體" w:hAnsi="標楷體"/>
                <w:sz w:val="32"/>
              </w:rPr>
            </w:pPr>
          </w:p>
        </w:tc>
      </w:tr>
      <w:tr w:rsidR="00DF578B" w14:paraId="2E8854D5" w14:textId="77777777" w:rsidTr="00F957DE">
        <w:trPr>
          <w:cantSplit/>
          <w:trHeight w:val="660"/>
        </w:trPr>
        <w:tc>
          <w:tcPr>
            <w:tcW w:w="22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3" w:type="dxa"/>
            </w:tcMar>
          </w:tcPr>
          <w:p w14:paraId="60E12C3A" w14:textId="77777777" w:rsidR="00DF578B" w:rsidRDefault="00000000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sz w:val="28"/>
                <w:szCs w:val="28"/>
              </w:rPr>
              <w:t>公司地址</w:t>
            </w:r>
            <w:proofErr w:type="spellEnd"/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14:paraId="396AA3AF" w14:textId="77777777" w:rsidR="00DF578B" w:rsidRDefault="00DF578B">
            <w:pPr>
              <w:spacing w:line="48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23" w:type="dxa"/>
            </w:tcMar>
          </w:tcPr>
          <w:p w14:paraId="4B1638A8" w14:textId="77777777" w:rsidR="00DF578B" w:rsidRDefault="00DF578B"/>
        </w:tc>
      </w:tr>
      <w:tr w:rsidR="00DF578B" w14:paraId="3704C076" w14:textId="77777777" w:rsidTr="00F957DE">
        <w:trPr>
          <w:cantSplit/>
          <w:trHeight w:val="660"/>
        </w:trPr>
        <w:tc>
          <w:tcPr>
            <w:tcW w:w="22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3" w:type="dxa"/>
            </w:tcMar>
          </w:tcPr>
          <w:p w14:paraId="3F2B3403" w14:textId="77777777" w:rsidR="00DF578B" w:rsidRDefault="00000000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sz w:val="28"/>
                <w:szCs w:val="28"/>
              </w:rPr>
              <w:t>領證聯絡人</w:t>
            </w:r>
            <w:proofErr w:type="spellEnd"/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14:paraId="77773F9D" w14:textId="77777777" w:rsidR="00DF578B" w:rsidRDefault="00DF578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23" w:type="dxa"/>
            </w:tcMar>
          </w:tcPr>
          <w:p w14:paraId="34D052C9" w14:textId="77777777" w:rsidR="00DF578B" w:rsidRDefault="00DF578B"/>
        </w:tc>
      </w:tr>
      <w:tr w:rsidR="00DF578B" w14:paraId="0B02FC81" w14:textId="77777777" w:rsidTr="00F957DE">
        <w:trPr>
          <w:cantSplit/>
          <w:trHeight w:val="660"/>
        </w:trPr>
        <w:tc>
          <w:tcPr>
            <w:tcW w:w="22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3" w:type="dxa"/>
            </w:tcMar>
          </w:tcPr>
          <w:p w14:paraId="4C5847BB" w14:textId="77777777" w:rsidR="00DF578B" w:rsidRDefault="00000000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sz w:val="28"/>
                <w:szCs w:val="28"/>
              </w:rPr>
              <w:t>領辦證電話</w:t>
            </w:r>
            <w:proofErr w:type="spellEnd"/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14:paraId="71C4BB1B" w14:textId="77777777" w:rsidR="00DF578B" w:rsidRDefault="00DF578B">
            <w:pPr>
              <w:spacing w:line="48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23" w:type="dxa"/>
            </w:tcMar>
          </w:tcPr>
          <w:p w14:paraId="234AE369" w14:textId="77777777" w:rsidR="00DF578B" w:rsidRDefault="00DF578B"/>
        </w:tc>
      </w:tr>
      <w:tr w:rsidR="00DF578B" w14:paraId="1D806FEA" w14:textId="77777777" w:rsidTr="001C79B7">
        <w:trPr>
          <w:cantSplit/>
          <w:trHeight w:val="858"/>
        </w:trPr>
        <w:tc>
          <w:tcPr>
            <w:tcW w:w="22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14:paraId="0C9D8DAD" w14:textId="77777777" w:rsidR="00DF578B" w:rsidRDefault="00000000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sz w:val="28"/>
                <w:szCs w:val="28"/>
              </w:rPr>
              <w:t>申請行駛路線</w:t>
            </w:r>
            <w:proofErr w:type="spellEnd"/>
          </w:p>
        </w:tc>
        <w:tc>
          <w:tcPr>
            <w:tcW w:w="7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23" w:type="dxa"/>
            </w:tcMar>
          </w:tcPr>
          <w:p w14:paraId="1350CACA" w14:textId="77777777" w:rsidR="00DF578B" w:rsidRDefault="00DF578B">
            <w:pPr>
              <w:spacing w:line="480" w:lineRule="exact"/>
              <w:rPr>
                <w:rFonts w:ascii="標楷體" w:eastAsia="標楷體" w:hAnsi="標楷體"/>
                <w:sz w:val="32"/>
              </w:rPr>
            </w:pPr>
          </w:p>
        </w:tc>
      </w:tr>
      <w:tr w:rsidR="00DF578B" w14:paraId="02C2EAE1" w14:textId="77777777" w:rsidTr="00F957DE">
        <w:trPr>
          <w:cantSplit/>
          <w:trHeight w:val="985"/>
        </w:trPr>
        <w:tc>
          <w:tcPr>
            <w:tcW w:w="22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14:paraId="63523740" w14:textId="77777777" w:rsidR="00DF578B" w:rsidRDefault="00000000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sz w:val="28"/>
                <w:szCs w:val="28"/>
              </w:rPr>
              <w:t>申請車輛車號</w:t>
            </w:r>
            <w:proofErr w:type="spellEnd"/>
          </w:p>
        </w:tc>
        <w:tc>
          <w:tcPr>
            <w:tcW w:w="7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23" w:type="dxa"/>
            </w:tcMar>
          </w:tcPr>
          <w:p w14:paraId="641E8AE2" w14:textId="77777777" w:rsidR="00DF578B" w:rsidRDefault="00DF578B">
            <w:pPr>
              <w:spacing w:line="480" w:lineRule="exact"/>
              <w:rPr>
                <w:rFonts w:ascii="標楷體" w:eastAsia="標楷體" w:hAnsi="標楷體"/>
                <w:sz w:val="32"/>
              </w:rPr>
            </w:pPr>
          </w:p>
        </w:tc>
      </w:tr>
      <w:tr w:rsidR="00DF578B" w14:paraId="18A4583C" w14:textId="77777777" w:rsidTr="00F957DE">
        <w:trPr>
          <w:cantSplit/>
          <w:trHeight w:val="6917"/>
        </w:trPr>
        <w:tc>
          <w:tcPr>
            <w:tcW w:w="22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14:paraId="0AB96700" w14:textId="77777777" w:rsidR="00DF578B" w:rsidRDefault="00000000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</w:rPr>
            </w:pPr>
            <w:proofErr w:type="spellStart"/>
            <w:r w:rsidRPr="00F957DE">
              <w:rPr>
                <w:rFonts w:ascii="標楷體" w:eastAsia="標楷體" w:hAnsi="標楷體"/>
                <w:sz w:val="32"/>
                <w:szCs w:val="36"/>
              </w:rPr>
              <w:t>附註</w:t>
            </w:r>
            <w:proofErr w:type="spellEnd"/>
          </w:p>
        </w:tc>
        <w:tc>
          <w:tcPr>
            <w:tcW w:w="7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23" w:type="dxa"/>
            </w:tcMar>
          </w:tcPr>
          <w:p w14:paraId="05B11365" w14:textId="77777777" w:rsidR="00DF578B" w:rsidRDefault="00000000">
            <w:pPr>
              <w:spacing w:before="114" w:after="114" w:line="280" w:lineRule="exact"/>
              <w:ind w:left="560" w:hanging="560"/>
              <w:rPr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一、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  <w:lang w:eastAsia="zh-TW"/>
              </w:rPr>
              <w:t>15</w:t>
            </w: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  <w:lang w:eastAsia="zh-TW"/>
              </w:rPr>
              <w:t>噸以上(含)大貨車及聯結車臨時通行證申請書向路權機關(鄉、鎮、市)公所提出，如涉及跨鄉鎮時請向花蓮縣政府提出申請。</w:t>
            </w:r>
          </w:p>
          <w:p w14:paraId="7541AA20" w14:textId="77777777" w:rsidR="00DF578B" w:rsidRDefault="00000000">
            <w:pPr>
              <w:spacing w:before="100" w:line="280" w:lineRule="exact"/>
              <w:ind w:left="560" w:hanging="560"/>
              <w:rPr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二、應附文件影本：(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一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)行車執照、駕駛執照及保險證等影本(二)公司執照或營利事業登記證影本(三)工程合約書或契約書或相關委託書(或訂貨單)等並有下列內容運送1.物品名稱2.起運日期及地點(四)行駛路線圖(標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註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路名)(五)營建工程剩餘土石方處理計畫(收容證明)(六)申請公司車輛如非原公司車輛請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檢附代為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申請委託書(七)運送危險物品請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檢附監理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單位核發之危險物品臨時通行證影本(八) 屬挖掘案另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檢附路權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機關同意挖掘函或交通維持計畫審查核准文件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，雙面列印即可。</w:t>
            </w:r>
          </w:p>
          <w:p w14:paraId="73287128" w14:textId="77777777" w:rsidR="00DF578B" w:rsidRDefault="00000000">
            <w:pPr>
              <w:spacing w:before="100" w:line="280" w:lineRule="exact"/>
              <w:ind w:left="560" w:hanging="560"/>
              <w:rPr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三、申請行駛時間限於每日</w:t>
            </w:r>
            <w: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09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00-16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00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及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  <w:lang w:eastAsia="zh-TW"/>
              </w:rPr>
              <w:t>22：00-06：00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時非交通尖峰時段。</w:t>
            </w:r>
          </w:p>
          <w:p w14:paraId="7189F541" w14:textId="7E63F6D0" w:rsidR="00DF578B" w:rsidRDefault="00000000">
            <w:pPr>
              <w:spacing w:before="100" w:line="280" w:lineRule="exact"/>
              <w:ind w:left="560" w:hanging="56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四、申請書上用印(蓋公司大小章)，於行駛前10日提出申請</w:t>
            </w:r>
            <w:r w:rsidRPr="003B077C"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  <w:u w:val="single"/>
                <w:lang w:eastAsia="zh-TW"/>
              </w:rPr>
              <w:t>(</w:t>
            </w:r>
            <w:r w:rsidR="001F7DAE" w:rsidRPr="003B077C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  <w:u w:val="single"/>
                <w:lang w:eastAsia="zh-TW"/>
              </w:rPr>
              <w:t>資料未齊全退件後請重新備齊再送件</w:t>
            </w:r>
            <w:r w:rsidRPr="003B077C"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  <w:u w:val="single"/>
                <w:lang w:eastAsia="zh-TW"/>
              </w:rPr>
              <w:t>)</w:t>
            </w:r>
            <w:r w:rsidRPr="003B077C">
              <w:rPr>
                <w:rFonts w:ascii="標楷體" w:eastAsia="標楷體" w:hAnsi="標楷體"/>
                <w:color w:val="FF0000"/>
                <w:sz w:val="28"/>
                <w:szCs w:val="28"/>
                <w:lang w:eastAsia="zh-TW"/>
              </w:rPr>
              <w:t>。</w:t>
            </w:r>
          </w:p>
          <w:p w14:paraId="27B25642" w14:textId="77777777" w:rsidR="00DF578B" w:rsidRDefault="00000000">
            <w:pPr>
              <w:spacing w:before="100" w:line="280" w:lineRule="exact"/>
              <w:ind w:left="560" w:hanging="56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五、交通部新修「道路交通安全規則」第39條之1：自</w:t>
            </w:r>
            <w: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109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年</w:t>
            </w:r>
            <w: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月</w:t>
            </w:r>
            <w: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日起，大客車與大貨車應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裝設合於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規定之行車視野輔助系統或下列任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一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裝置（一）左右兩側視野鏡頭及可顯示車身兩側影像之車內螢幕。（二）於車輛右側裝設一個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外部近側視鏡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並於車輛右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前側裝設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雷達警示系統。（三）可顯示車輛四周影像之環景顯示系統。</w:t>
            </w:r>
          </w:p>
          <w:p w14:paraId="5492A3D7" w14:textId="62EB9722" w:rsidR="005038C5" w:rsidRPr="005038C5" w:rsidRDefault="005038C5">
            <w:pPr>
              <w:spacing w:before="100" w:line="280" w:lineRule="exact"/>
              <w:ind w:left="560" w:hanging="560"/>
              <w:rPr>
                <w:rFonts w:hint="eastAsia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六、原則上本府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核發東興路段，如有行徑必要請於申請時提出相關證明。</w:t>
            </w:r>
          </w:p>
        </w:tc>
      </w:tr>
    </w:tbl>
    <w:p w14:paraId="73D9A333" w14:textId="77777777" w:rsidR="00DF578B" w:rsidRDefault="00DF578B">
      <w:pPr>
        <w:rPr>
          <w:lang w:eastAsia="zh-TW"/>
        </w:rPr>
      </w:pPr>
    </w:p>
    <w:p w14:paraId="7F56DE93" w14:textId="77777777" w:rsidR="00DF578B" w:rsidRDefault="00DF578B">
      <w:pPr>
        <w:rPr>
          <w:vanish/>
        </w:rPr>
      </w:pPr>
    </w:p>
    <w:tbl>
      <w:tblPr>
        <w:tblW w:w="9519" w:type="dxa"/>
        <w:tblInd w:w="28" w:type="dxa"/>
        <w:tblBorders>
          <w:top w:val="single" w:sz="8" w:space="0" w:color="000000"/>
          <w:left w:val="single" w:sz="8" w:space="0" w:color="000000"/>
          <w:bottom w:val="single" w:sz="4" w:space="0" w:color="000000"/>
          <w:right w:val="single" w:sz="8" w:space="0" w:color="000000"/>
          <w:insideH w:val="single" w:sz="4" w:space="0" w:color="000000"/>
          <w:insideV w:val="single" w:sz="8" w:space="0" w:color="000000"/>
        </w:tblBorders>
        <w:tblCellMar>
          <w:left w:w="18" w:type="dxa"/>
          <w:right w:w="28" w:type="dxa"/>
        </w:tblCellMar>
        <w:tblLook w:val="0000" w:firstRow="0" w:lastRow="0" w:firstColumn="0" w:lastColumn="0" w:noHBand="0" w:noVBand="0"/>
      </w:tblPr>
      <w:tblGrid>
        <w:gridCol w:w="8108"/>
        <w:gridCol w:w="1411"/>
      </w:tblGrid>
      <w:tr w:rsidR="00DF578B" w14:paraId="673BB97D" w14:textId="77777777">
        <w:trPr>
          <w:trHeight w:val="578"/>
        </w:trPr>
        <w:tc>
          <w:tcPr>
            <w:tcW w:w="951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</w:tcPr>
          <w:p w14:paraId="42A5A1C4" w14:textId="77777777" w:rsidR="00DF578B" w:rsidRDefault="00000000">
            <w:pPr>
              <w:rPr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花蓮縣總重</w:t>
            </w:r>
            <w: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15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噸以上(含)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大貨車及聯結車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行駛管制道路臨時通行證申請應檢附文件</w:t>
            </w:r>
          </w:p>
        </w:tc>
      </w:tr>
      <w:tr w:rsidR="00DF578B" w14:paraId="2757CB38" w14:textId="77777777">
        <w:trPr>
          <w:trHeight w:val="566"/>
        </w:trPr>
        <w:tc>
          <w:tcPr>
            <w:tcW w:w="81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14:paraId="7947CFB7" w14:textId="77777777" w:rsidR="00DF578B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sz w:val="28"/>
                <w:szCs w:val="28"/>
              </w:rPr>
              <w:t>提供證明文件</w:t>
            </w:r>
            <w:proofErr w:type="spellEnd"/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52F8A17B" w14:textId="77777777" w:rsidR="00DF578B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  <w:proofErr w:type="spellEnd"/>
          </w:p>
        </w:tc>
      </w:tr>
      <w:tr w:rsidR="00DF578B" w14:paraId="3D4E96B4" w14:textId="77777777">
        <w:trPr>
          <w:trHeight w:val="371"/>
        </w:trPr>
        <w:tc>
          <w:tcPr>
            <w:tcW w:w="81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" w:type="dxa"/>
            </w:tcMar>
          </w:tcPr>
          <w:p w14:paraId="6E1BED85" w14:textId="77777777" w:rsidR="00DF578B" w:rsidRDefault="00000000">
            <w:pPr>
              <w:ind w:left="280" w:hanging="280"/>
              <w:rPr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1．花蓮縣總重15噸以上(含)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大貨車及聯結車臨時通行證申請書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23" w:type="dxa"/>
            </w:tcMar>
          </w:tcPr>
          <w:p w14:paraId="407400C7" w14:textId="77777777" w:rsidR="00DF578B" w:rsidRDefault="00DF578B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DF578B" w14:paraId="47F58E46" w14:textId="77777777">
        <w:trPr>
          <w:trHeight w:val="404"/>
        </w:trPr>
        <w:tc>
          <w:tcPr>
            <w:tcW w:w="81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" w:type="dxa"/>
            </w:tcMar>
          </w:tcPr>
          <w:p w14:paraId="0AF84B04" w14:textId="77777777" w:rsidR="00DF578B" w:rsidRDefault="00000000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2．駕駛執照、行車執照影本及保險證等影本(申請車輛為箱型冷凍請檢附車輛照片-正面、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背面、側面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各一式)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23" w:type="dxa"/>
            </w:tcMar>
          </w:tcPr>
          <w:p w14:paraId="726280D6" w14:textId="77777777" w:rsidR="00DF578B" w:rsidRDefault="00DF578B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DF578B" w14:paraId="75659F2B" w14:textId="77777777">
        <w:trPr>
          <w:trHeight w:val="346"/>
        </w:trPr>
        <w:tc>
          <w:tcPr>
            <w:tcW w:w="81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" w:type="dxa"/>
            </w:tcMar>
          </w:tcPr>
          <w:p w14:paraId="325FE913" w14:textId="77777777" w:rsidR="00DF578B" w:rsidRDefault="00000000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3．公司執照或營利事業登記證影本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23" w:type="dxa"/>
            </w:tcMar>
          </w:tcPr>
          <w:p w14:paraId="247D48FC" w14:textId="77777777" w:rsidR="00DF578B" w:rsidRDefault="00DF578B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DF578B" w14:paraId="65F0A71F" w14:textId="77777777">
        <w:trPr>
          <w:trHeight w:val="330"/>
        </w:trPr>
        <w:tc>
          <w:tcPr>
            <w:tcW w:w="81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" w:type="dxa"/>
            </w:tcMar>
          </w:tcPr>
          <w:p w14:paraId="56983A98" w14:textId="77777777" w:rsidR="00DF578B" w:rsidRDefault="00000000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4．工程合約書或契約書、相關委託書(或訂貨單)等證明文件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23" w:type="dxa"/>
            </w:tcMar>
          </w:tcPr>
          <w:p w14:paraId="290CAA5E" w14:textId="77777777" w:rsidR="00DF578B" w:rsidRDefault="00DF578B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DF578B" w14:paraId="103BF025" w14:textId="77777777">
        <w:trPr>
          <w:trHeight w:val="51"/>
        </w:trPr>
        <w:tc>
          <w:tcPr>
            <w:tcW w:w="81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" w:type="dxa"/>
            </w:tcMar>
          </w:tcPr>
          <w:p w14:paraId="5C483B55" w14:textId="77777777" w:rsidR="00DF578B" w:rsidRDefault="00000000">
            <w:pPr>
              <w:ind w:left="426" w:hanging="426"/>
              <w:rPr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5．申請行駛路線圖(例：中央路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→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中山路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→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自強路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→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建國路一段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→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中央路)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23" w:type="dxa"/>
            </w:tcMar>
          </w:tcPr>
          <w:p w14:paraId="5A191B5F" w14:textId="77777777" w:rsidR="00DF578B" w:rsidRDefault="00DF578B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DF578B" w14:paraId="0EA2238F" w14:textId="77777777">
        <w:trPr>
          <w:trHeight w:val="51"/>
        </w:trPr>
        <w:tc>
          <w:tcPr>
            <w:tcW w:w="81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" w:type="dxa"/>
            </w:tcMar>
          </w:tcPr>
          <w:p w14:paraId="66786CBE" w14:textId="77777777" w:rsidR="00DF578B" w:rsidRDefault="00000000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6．營建工程剩餘土石方處理計畫(收容證明)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23" w:type="dxa"/>
            </w:tcMar>
          </w:tcPr>
          <w:p w14:paraId="34F0A2CB" w14:textId="77777777" w:rsidR="00DF578B" w:rsidRDefault="00DF578B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DF578B" w14:paraId="0773A46E" w14:textId="77777777">
        <w:trPr>
          <w:trHeight w:val="51"/>
        </w:trPr>
        <w:tc>
          <w:tcPr>
            <w:tcW w:w="81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" w:type="dxa"/>
            </w:tcMar>
          </w:tcPr>
          <w:p w14:paraId="7D3AE84E" w14:textId="77777777" w:rsidR="00DF578B" w:rsidRDefault="00000000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7．車輛代為申請委託書(申請車輛非原公司者請檢附)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23" w:type="dxa"/>
            </w:tcMar>
          </w:tcPr>
          <w:p w14:paraId="57EF03DA" w14:textId="77777777" w:rsidR="00DF578B" w:rsidRDefault="00DF578B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DF578B" w14:paraId="46246690" w14:textId="77777777">
        <w:trPr>
          <w:trHeight w:val="51"/>
        </w:trPr>
        <w:tc>
          <w:tcPr>
            <w:tcW w:w="81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" w:type="dxa"/>
            </w:tcMar>
          </w:tcPr>
          <w:p w14:paraId="7A77C874" w14:textId="77777777" w:rsidR="00DF578B" w:rsidRDefault="00000000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8．運送危險物品請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檢附監理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單位核發之危險物品臨時通行證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23" w:type="dxa"/>
            </w:tcMar>
          </w:tcPr>
          <w:p w14:paraId="605208B1" w14:textId="77777777" w:rsidR="00DF578B" w:rsidRDefault="00DF578B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DF578B" w14:paraId="6DF1F6B3" w14:textId="77777777">
        <w:trPr>
          <w:trHeight w:val="51"/>
        </w:trPr>
        <w:tc>
          <w:tcPr>
            <w:tcW w:w="81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8" w:type="dxa"/>
            </w:tcMar>
          </w:tcPr>
          <w:p w14:paraId="7D7F6A3E" w14:textId="77777777" w:rsidR="00DF578B" w:rsidRDefault="00000000">
            <w:pPr>
              <w:ind w:left="423" w:hanging="423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9．屬於挖掘道路者另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檢附路權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機關(公路總局或鄉鎮市公所)同意挖掘函或交通維持計畫審查核准文件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23" w:type="dxa"/>
            </w:tcMar>
          </w:tcPr>
          <w:p w14:paraId="1C1BB4C0" w14:textId="77777777" w:rsidR="00DF578B" w:rsidRDefault="00DF578B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DF578B" w14:paraId="78D8422F" w14:textId="77777777">
        <w:trPr>
          <w:trHeight w:val="1235"/>
        </w:trPr>
        <w:tc>
          <w:tcPr>
            <w:tcW w:w="81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8" w:type="dxa"/>
            </w:tcMar>
          </w:tcPr>
          <w:p w14:paraId="76921FC5" w14:textId="77777777" w:rsidR="00DF578B" w:rsidRDefault="00000000">
            <w:pPr>
              <w:ind w:left="24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備註：受理單位花蓮縣政府建設處交通科（官網下載表格）</w:t>
            </w:r>
          </w:p>
          <w:p w14:paraId="5ED9B463" w14:textId="77777777" w:rsidR="00DF578B" w:rsidRDefault="00000000">
            <w:pPr>
              <w:ind w:left="24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　　　電話：０３－８２４６６７２</w:t>
            </w:r>
          </w:p>
          <w:p w14:paraId="60EA227D" w14:textId="77777777" w:rsidR="00DF578B" w:rsidRDefault="00000000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　　　  傳真：０３－８２４６５３０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23" w:type="dxa"/>
            </w:tcMar>
          </w:tcPr>
          <w:p w14:paraId="1139FE2A" w14:textId="77777777" w:rsidR="00DF578B" w:rsidRDefault="00DF578B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</w:tbl>
    <w:p w14:paraId="1B6FF65E" w14:textId="77777777" w:rsidR="00DF578B" w:rsidRDefault="00000000">
      <w:pPr>
        <w:ind w:left="27"/>
        <w:rPr>
          <w:rFonts w:ascii="標楷體" w:eastAsia="標楷體" w:hAnsi="標楷體"/>
          <w:b/>
          <w:sz w:val="28"/>
          <w:szCs w:val="28"/>
          <w:lang w:eastAsia="zh-TW"/>
        </w:rPr>
      </w:pPr>
      <w:r>
        <w:rPr>
          <w:rFonts w:ascii="標楷體" w:eastAsia="標楷體" w:hAnsi="標楷體"/>
          <w:b/>
          <w:sz w:val="28"/>
          <w:szCs w:val="28"/>
          <w:lang w:eastAsia="zh-TW"/>
        </w:rPr>
        <w:t>※</w:t>
      </w:r>
      <w:r>
        <w:rPr>
          <w:rFonts w:ascii="標楷體" w:eastAsia="標楷體" w:hAnsi="標楷體"/>
          <w:sz w:val="28"/>
          <w:szCs w:val="28"/>
          <w:lang w:eastAsia="zh-TW"/>
        </w:rPr>
        <w:t>申請臨時通行證之程序規定：</w:t>
      </w:r>
    </w:p>
    <w:p w14:paraId="314B4034" w14:textId="77777777" w:rsidR="00DF578B" w:rsidRDefault="00000000">
      <w:pPr>
        <w:spacing w:before="72"/>
        <w:ind w:left="1079" w:hanging="658"/>
        <w:jc w:val="distribute"/>
        <w:rPr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一、因工程施工或貨物運輸屬非長期性運輸之臨時特殊需要，總重</w:t>
      </w:r>
      <w:r>
        <w:rPr>
          <w:rFonts w:ascii="標楷體" w:eastAsia="標楷體" w:hAnsi="標楷體"/>
          <w:b/>
          <w:sz w:val="28"/>
          <w:szCs w:val="28"/>
          <w:lang w:eastAsia="zh-TW"/>
        </w:rPr>
        <w:t>15</w:t>
      </w:r>
      <w:r>
        <w:rPr>
          <w:rFonts w:ascii="標楷體" w:eastAsia="標楷體" w:hAnsi="標楷體"/>
          <w:sz w:val="28"/>
          <w:szCs w:val="28"/>
          <w:lang w:eastAsia="zh-TW"/>
        </w:rPr>
        <w:t>噸以上(含)大貨車需行駛指定路線以外之道路者申請。</w:t>
      </w:r>
    </w:p>
    <w:p w14:paraId="2EEACC61" w14:textId="77777777" w:rsidR="00DF578B" w:rsidRDefault="00000000">
      <w:pPr>
        <w:spacing w:before="72"/>
        <w:ind w:left="1035" w:hanging="608"/>
        <w:jc w:val="distribute"/>
        <w:rPr>
          <w:rFonts w:ascii="標楷體" w:eastAsia="標楷體" w:hAnsi="標楷體"/>
          <w:b/>
          <w:bCs/>
          <w:sz w:val="28"/>
          <w:szCs w:val="28"/>
          <w:lang w:eastAsia="zh-TW"/>
        </w:rPr>
      </w:pPr>
      <w:r>
        <w:rPr>
          <w:rFonts w:ascii="標楷體" w:eastAsia="標楷體" w:hAnsi="標楷體"/>
          <w:bCs/>
          <w:sz w:val="28"/>
          <w:szCs w:val="28"/>
          <w:lang w:eastAsia="zh-TW"/>
        </w:rPr>
        <w:t>(</w:t>
      </w:r>
      <w:proofErr w:type="gramStart"/>
      <w:r>
        <w:rPr>
          <w:rFonts w:ascii="標楷體" w:eastAsia="標楷體" w:hAnsi="標楷體"/>
          <w:b/>
          <w:bCs/>
          <w:sz w:val="28"/>
          <w:szCs w:val="28"/>
          <w:lang w:eastAsia="zh-TW"/>
        </w:rPr>
        <w:t>一</w:t>
      </w:r>
      <w:proofErr w:type="gramEnd"/>
      <w:r>
        <w:rPr>
          <w:rFonts w:ascii="標楷體" w:eastAsia="標楷體" w:hAnsi="標楷體"/>
          <w:b/>
          <w:bCs/>
          <w:sz w:val="28"/>
          <w:szCs w:val="28"/>
          <w:lang w:eastAsia="zh-TW"/>
        </w:rPr>
        <w:t>)載運砂石或土方者（總重</w:t>
      </w:r>
      <w:r>
        <w:rPr>
          <w:rFonts w:ascii="標楷體" w:eastAsia="標楷體" w:hAnsi="標楷體"/>
          <w:bCs/>
          <w:sz w:val="28"/>
          <w:szCs w:val="28"/>
          <w:lang w:eastAsia="zh-TW"/>
        </w:rPr>
        <w:t>21</w:t>
      </w:r>
      <w:r>
        <w:rPr>
          <w:rFonts w:ascii="標楷體" w:eastAsia="標楷體" w:hAnsi="標楷體"/>
          <w:b/>
          <w:bCs/>
          <w:sz w:val="28"/>
          <w:szCs w:val="28"/>
          <w:lang w:eastAsia="zh-TW"/>
        </w:rPr>
        <w:t>噸以下(含)車輛）：行駛時間限於</w:t>
      </w:r>
      <w:r>
        <w:rPr>
          <w:rFonts w:ascii="標楷體" w:eastAsia="標楷體" w:hAnsi="標楷體"/>
          <w:bCs/>
          <w:sz w:val="28"/>
          <w:szCs w:val="28"/>
          <w:lang w:eastAsia="zh-TW"/>
        </w:rPr>
        <w:t>09</w:t>
      </w:r>
      <w:r>
        <w:rPr>
          <w:rFonts w:ascii="標楷體" w:eastAsia="標楷體" w:hAnsi="標楷體"/>
          <w:b/>
          <w:bCs/>
          <w:sz w:val="28"/>
          <w:szCs w:val="28"/>
          <w:lang w:eastAsia="zh-TW"/>
        </w:rPr>
        <w:t>：</w:t>
      </w:r>
      <w:r>
        <w:rPr>
          <w:rFonts w:ascii="標楷體" w:eastAsia="標楷體" w:hAnsi="標楷體"/>
          <w:bCs/>
          <w:sz w:val="28"/>
          <w:szCs w:val="28"/>
          <w:lang w:eastAsia="zh-TW"/>
        </w:rPr>
        <w:t>00-16</w:t>
      </w:r>
      <w:r>
        <w:rPr>
          <w:rFonts w:ascii="標楷體" w:eastAsia="標楷體" w:hAnsi="標楷體"/>
          <w:b/>
          <w:bCs/>
          <w:sz w:val="28"/>
          <w:szCs w:val="28"/>
          <w:lang w:eastAsia="zh-TW"/>
        </w:rPr>
        <w:t>：</w:t>
      </w:r>
      <w:r>
        <w:rPr>
          <w:rFonts w:ascii="標楷體" w:eastAsia="標楷體" w:hAnsi="標楷體"/>
          <w:bCs/>
          <w:sz w:val="28"/>
          <w:szCs w:val="28"/>
          <w:lang w:eastAsia="zh-TW"/>
        </w:rPr>
        <w:t>00</w:t>
      </w:r>
      <w:r>
        <w:rPr>
          <w:rFonts w:ascii="標楷體" w:eastAsia="標楷體" w:hAnsi="標楷體"/>
          <w:b/>
          <w:bCs/>
          <w:sz w:val="28"/>
          <w:szCs w:val="28"/>
          <w:lang w:eastAsia="zh-TW"/>
        </w:rPr>
        <w:t>或</w:t>
      </w:r>
      <w:r>
        <w:rPr>
          <w:rFonts w:ascii="標楷體" w:eastAsia="標楷體" w:hAnsi="標楷體"/>
          <w:bCs/>
          <w:sz w:val="28"/>
          <w:szCs w:val="28"/>
          <w:lang w:eastAsia="zh-TW"/>
        </w:rPr>
        <w:t>22</w:t>
      </w:r>
      <w:r>
        <w:rPr>
          <w:rFonts w:ascii="標楷體" w:eastAsia="標楷體" w:hAnsi="標楷體"/>
          <w:b/>
          <w:bCs/>
          <w:sz w:val="28"/>
          <w:szCs w:val="28"/>
          <w:lang w:eastAsia="zh-TW"/>
        </w:rPr>
        <w:t>：</w:t>
      </w:r>
      <w:r>
        <w:rPr>
          <w:rFonts w:ascii="標楷體" w:eastAsia="標楷體" w:hAnsi="標楷體"/>
          <w:bCs/>
          <w:sz w:val="28"/>
          <w:szCs w:val="28"/>
          <w:lang w:eastAsia="zh-TW"/>
        </w:rPr>
        <w:t>00-06</w:t>
      </w:r>
      <w:r>
        <w:rPr>
          <w:rFonts w:ascii="標楷體" w:eastAsia="標楷體" w:hAnsi="標楷體"/>
          <w:b/>
          <w:bCs/>
          <w:sz w:val="28"/>
          <w:szCs w:val="28"/>
          <w:lang w:eastAsia="zh-TW"/>
        </w:rPr>
        <w:t>：</w:t>
      </w:r>
      <w:r>
        <w:rPr>
          <w:rFonts w:ascii="標楷體" w:eastAsia="標楷體" w:hAnsi="標楷體"/>
          <w:bCs/>
          <w:sz w:val="28"/>
          <w:szCs w:val="28"/>
          <w:lang w:eastAsia="zh-TW"/>
        </w:rPr>
        <w:t>00</w:t>
      </w:r>
      <w:r>
        <w:rPr>
          <w:rFonts w:ascii="標楷體" w:eastAsia="標楷體" w:hAnsi="標楷體"/>
          <w:b/>
          <w:bCs/>
          <w:sz w:val="28"/>
          <w:szCs w:val="28"/>
          <w:lang w:eastAsia="zh-TW"/>
        </w:rPr>
        <w:t>非交通尖峰時段。</w:t>
      </w:r>
    </w:p>
    <w:p w14:paraId="00AF75A4" w14:textId="77777777" w:rsidR="00DF578B" w:rsidRDefault="00000000">
      <w:pPr>
        <w:spacing w:before="72"/>
        <w:ind w:left="1035" w:hanging="608"/>
        <w:jc w:val="distribute"/>
        <w:rPr>
          <w:lang w:eastAsia="zh-TW"/>
        </w:rPr>
      </w:pPr>
      <w:r>
        <w:rPr>
          <w:rFonts w:ascii="標楷體" w:eastAsia="標楷體" w:hAnsi="標楷體"/>
          <w:bCs/>
          <w:sz w:val="28"/>
          <w:szCs w:val="28"/>
          <w:lang w:eastAsia="zh-TW"/>
        </w:rPr>
        <w:t>(</w:t>
      </w:r>
      <w:r>
        <w:rPr>
          <w:rFonts w:ascii="標楷體" w:eastAsia="標楷體" w:hAnsi="標楷體"/>
          <w:b/>
          <w:bCs/>
          <w:sz w:val="28"/>
          <w:szCs w:val="28"/>
          <w:lang w:eastAsia="zh-TW"/>
        </w:rPr>
        <w:t>二)載運民生必需物資、醫療用品、農產品者之車輛，得申請使用</w:t>
      </w:r>
      <w:r>
        <w:rPr>
          <w:rFonts w:ascii="標楷體" w:eastAsia="標楷體" w:hAnsi="標楷體"/>
          <w:bCs/>
          <w:sz w:val="28"/>
          <w:szCs w:val="28"/>
          <w:lang w:eastAsia="zh-TW"/>
        </w:rPr>
        <w:t>12.2</w:t>
      </w:r>
      <w:r>
        <w:rPr>
          <w:rFonts w:ascii="標楷體" w:eastAsia="標楷體" w:hAnsi="標楷體"/>
          <w:b/>
          <w:bCs/>
          <w:sz w:val="28"/>
          <w:szCs w:val="28"/>
          <w:lang w:eastAsia="zh-TW"/>
        </w:rPr>
        <w:t>公尺以下之半聯結車載運：行駛時間限於</w:t>
      </w:r>
      <w:r>
        <w:rPr>
          <w:rFonts w:ascii="標楷體" w:eastAsia="標楷體" w:hAnsi="標楷體"/>
          <w:bCs/>
          <w:sz w:val="28"/>
          <w:szCs w:val="28"/>
          <w:lang w:eastAsia="zh-TW"/>
        </w:rPr>
        <w:t>09</w:t>
      </w:r>
      <w:r>
        <w:rPr>
          <w:rFonts w:ascii="標楷體" w:eastAsia="標楷體" w:hAnsi="標楷體"/>
          <w:b/>
          <w:bCs/>
          <w:sz w:val="28"/>
          <w:szCs w:val="28"/>
          <w:lang w:eastAsia="zh-TW"/>
        </w:rPr>
        <w:t>：</w:t>
      </w:r>
      <w:r>
        <w:rPr>
          <w:rFonts w:ascii="標楷體" w:eastAsia="標楷體" w:hAnsi="標楷體"/>
          <w:bCs/>
          <w:sz w:val="28"/>
          <w:szCs w:val="28"/>
          <w:lang w:eastAsia="zh-TW"/>
        </w:rPr>
        <w:t>00-16</w:t>
      </w:r>
      <w:r>
        <w:rPr>
          <w:rFonts w:ascii="標楷體" w:eastAsia="標楷體" w:hAnsi="標楷體"/>
          <w:b/>
          <w:bCs/>
          <w:sz w:val="28"/>
          <w:szCs w:val="28"/>
          <w:lang w:eastAsia="zh-TW"/>
        </w:rPr>
        <w:t>：</w:t>
      </w:r>
      <w:r>
        <w:rPr>
          <w:rFonts w:ascii="標楷體" w:eastAsia="標楷體" w:hAnsi="標楷體"/>
          <w:bCs/>
          <w:sz w:val="28"/>
          <w:szCs w:val="28"/>
          <w:lang w:eastAsia="zh-TW"/>
        </w:rPr>
        <w:t>00</w:t>
      </w:r>
      <w:r>
        <w:rPr>
          <w:rFonts w:ascii="標楷體" w:eastAsia="標楷體" w:hAnsi="標楷體"/>
          <w:b/>
          <w:bCs/>
          <w:sz w:val="28"/>
          <w:szCs w:val="28"/>
          <w:lang w:eastAsia="zh-TW"/>
        </w:rPr>
        <w:t>或</w:t>
      </w:r>
      <w:r>
        <w:rPr>
          <w:rFonts w:ascii="標楷體" w:eastAsia="標楷體" w:hAnsi="標楷體"/>
          <w:bCs/>
          <w:sz w:val="28"/>
          <w:szCs w:val="28"/>
          <w:lang w:eastAsia="zh-TW"/>
        </w:rPr>
        <w:t>22</w:t>
      </w:r>
      <w:r>
        <w:rPr>
          <w:rFonts w:ascii="標楷體" w:eastAsia="標楷體" w:hAnsi="標楷體"/>
          <w:b/>
          <w:bCs/>
          <w:sz w:val="28"/>
          <w:szCs w:val="28"/>
          <w:lang w:eastAsia="zh-TW"/>
        </w:rPr>
        <w:t>：</w:t>
      </w:r>
      <w:r>
        <w:rPr>
          <w:rFonts w:ascii="標楷體" w:eastAsia="標楷體" w:hAnsi="標楷體"/>
          <w:bCs/>
          <w:sz w:val="28"/>
          <w:szCs w:val="28"/>
          <w:lang w:eastAsia="zh-TW"/>
        </w:rPr>
        <w:t>00-06</w:t>
      </w:r>
      <w:r>
        <w:rPr>
          <w:rFonts w:ascii="標楷體" w:eastAsia="標楷體" w:hAnsi="標楷體"/>
          <w:b/>
          <w:bCs/>
          <w:sz w:val="28"/>
          <w:szCs w:val="28"/>
          <w:lang w:eastAsia="zh-TW"/>
        </w:rPr>
        <w:t>：</w:t>
      </w:r>
      <w:r>
        <w:rPr>
          <w:rFonts w:ascii="標楷體" w:eastAsia="標楷體" w:hAnsi="標楷體"/>
          <w:bCs/>
          <w:sz w:val="28"/>
          <w:szCs w:val="28"/>
          <w:lang w:eastAsia="zh-TW"/>
        </w:rPr>
        <w:t>00</w:t>
      </w:r>
      <w:r>
        <w:rPr>
          <w:rFonts w:ascii="標楷體" w:eastAsia="標楷體" w:hAnsi="標楷體"/>
          <w:b/>
          <w:bCs/>
          <w:sz w:val="28"/>
          <w:szCs w:val="28"/>
          <w:lang w:eastAsia="zh-TW"/>
        </w:rPr>
        <w:t>非交通尖峰時段。</w:t>
      </w:r>
    </w:p>
    <w:p w14:paraId="6640C43B" w14:textId="77777777" w:rsidR="00DF578B" w:rsidRDefault="00000000">
      <w:pPr>
        <w:spacing w:before="72"/>
        <w:ind w:left="1035" w:hanging="608"/>
        <w:jc w:val="distribute"/>
        <w:rPr>
          <w:rFonts w:ascii="標楷體" w:eastAsia="標楷體" w:hAnsi="標楷體"/>
          <w:b/>
          <w:bCs/>
          <w:sz w:val="28"/>
          <w:szCs w:val="28"/>
          <w:lang w:eastAsia="zh-TW"/>
        </w:rPr>
      </w:pPr>
      <w:r>
        <w:rPr>
          <w:rFonts w:ascii="標楷體" w:eastAsia="標楷體" w:hAnsi="標楷體"/>
          <w:bCs/>
          <w:sz w:val="28"/>
          <w:szCs w:val="28"/>
          <w:lang w:eastAsia="zh-TW"/>
        </w:rPr>
        <w:t>(</w:t>
      </w:r>
      <w:r>
        <w:rPr>
          <w:rFonts w:ascii="標楷體" w:eastAsia="標楷體" w:hAnsi="標楷體"/>
          <w:b/>
          <w:bCs/>
          <w:sz w:val="28"/>
          <w:szCs w:val="28"/>
          <w:lang w:eastAsia="zh-TW"/>
        </w:rPr>
        <w:t>三)大型建設工程（開挖總量達</w:t>
      </w:r>
      <w:r>
        <w:rPr>
          <w:rFonts w:ascii="標楷體" w:eastAsia="標楷體" w:hAnsi="標楷體"/>
          <w:bCs/>
          <w:sz w:val="28"/>
          <w:szCs w:val="28"/>
          <w:lang w:eastAsia="zh-TW"/>
        </w:rPr>
        <w:t>2</w:t>
      </w:r>
      <w:r>
        <w:rPr>
          <w:rFonts w:ascii="標楷體" w:eastAsia="標楷體" w:hAnsi="標楷體"/>
          <w:b/>
          <w:bCs/>
          <w:sz w:val="28"/>
          <w:szCs w:val="28"/>
          <w:lang w:eastAsia="zh-TW"/>
        </w:rPr>
        <w:t>萬立方以上）或河川疏</w:t>
      </w:r>
      <w:proofErr w:type="gramStart"/>
      <w:r>
        <w:rPr>
          <w:rFonts w:ascii="標楷體" w:eastAsia="標楷體" w:hAnsi="標楷體"/>
          <w:b/>
          <w:bCs/>
          <w:sz w:val="28"/>
          <w:szCs w:val="28"/>
          <w:lang w:eastAsia="zh-TW"/>
        </w:rPr>
        <w:t>濬</w:t>
      </w:r>
      <w:proofErr w:type="gramEnd"/>
      <w:r>
        <w:rPr>
          <w:rFonts w:ascii="標楷體" w:eastAsia="標楷體" w:hAnsi="標楷體"/>
          <w:b/>
          <w:bCs/>
          <w:sz w:val="28"/>
          <w:szCs w:val="28"/>
          <w:lang w:eastAsia="zh-TW"/>
        </w:rPr>
        <w:t>工程，載運砂石、土方、建材、石材、機具（總重量</w:t>
      </w:r>
      <w:r>
        <w:rPr>
          <w:rFonts w:ascii="標楷體" w:eastAsia="標楷體" w:hAnsi="標楷體"/>
          <w:bCs/>
          <w:sz w:val="28"/>
          <w:szCs w:val="28"/>
          <w:lang w:eastAsia="zh-TW"/>
        </w:rPr>
        <w:t>21</w:t>
      </w:r>
      <w:r>
        <w:rPr>
          <w:rFonts w:ascii="標楷體" w:eastAsia="標楷體" w:hAnsi="標楷體"/>
          <w:b/>
          <w:bCs/>
          <w:sz w:val="28"/>
          <w:szCs w:val="28"/>
          <w:lang w:eastAsia="zh-TW"/>
        </w:rPr>
        <w:t>噸以(含)上車輛）：由主辦單位以專案方式提報本縣道路交通安全聯席會報審議，通過後核發通行證。</w:t>
      </w:r>
    </w:p>
    <w:p w14:paraId="5DB4F95A" w14:textId="77777777" w:rsidR="00DF578B" w:rsidRDefault="00000000">
      <w:pPr>
        <w:spacing w:before="72"/>
        <w:ind w:left="1079" w:hanging="658"/>
        <w:jc w:val="distribute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二、除載運砂石、土方、混凝土、瀝青、石材、機具以外之貨物，總重量在24噸以下(含)車輛，備有載明詳細出貨時間、地點及卸貨地點等相關書面資料，</w:t>
      </w:r>
      <w:proofErr w:type="gramStart"/>
      <w:r>
        <w:rPr>
          <w:rFonts w:ascii="標楷體" w:eastAsia="標楷體" w:hAnsi="標楷體"/>
          <w:sz w:val="28"/>
          <w:szCs w:val="28"/>
          <w:lang w:eastAsia="zh-TW"/>
        </w:rPr>
        <w:t>足資證明確</w:t>
      </w:r>
      <w:proofErr w:type="gramEnd"/>
      <w:r>
        <w:rPr>
          <w:rFonts w:ascii="標楷體" w:eastAsia="標楷體" w:hAnsi="標楷體"/>
          <w:sz w:val="28"/>
          <w:szCs w:val="28"/>
          <w:lang w:eastAsia="zh-TW"/>
        </w:rPr>
        <w:t>有行駛指定路線以外道路者，可憑出貨單作為行駛之憑據，免提出申請，行駛時間限於09：00-16：00或22：00-06：00非交通尖峰時段。</w:t>
      </w:r>
    </w:p>
    <w:p w14:paraId="02CEE8E9" w14:textId="77777777" w:rsidR="00DF578B" w:rsidRDefault="00000000">
      <w:pPr>
        <w:spacing w:before="72"/>
        <w:ind w:left="1079" w:hanging="658"/>
        <w:jc w:val="distribute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三、應審核申請行駛路線、道路幾何線型、交通狀況、使用車輛種類之必要性，避免交通</w:t>
      </w:r>
      <w:proofErr w:type="gramStart"/>
      <w:r>
        <w:rPr>
          <w:rFonts w:ascii="標楷體" w:eastAsia="標楷體" w:hAnsi="標楷體"/>
          <w:sz w:val="28"/>
          <w:szCs w:val="28"/>
          <w:lang w:eastAsia="zh-TW"/>
        </w:rPr>
        <w:t>壅</w:t>
      </w:r>
      <w:proofErr w:type="gramEnd"/>
      <w:r>
        <w:rPr>
          <w:rFonts w:ascii="標楷體" w:eastAsia="標楷體" w:hAnsi="標楷體"/>
          <w:sz w:val="28"/>
          <w:szCs w:val="28"/>
          <w:lang w:eastAsia="zh-TW"/>
        </w:rPr>
        <w:t>擠路段為原則，核發臨時通行證效期以1年為限。</w:t>
      </w:r>
    </w:p>
    <w:p w14:paraId="56C9E5BF" w14:textId="77777777" w:rsidR="00DF578B" w:rsidRDefault="00000000">
      <w:pPr>
        <w:spacing w:before="72"/>
        <w:ind w:left="1079" w:hanging="658"/>
        <w:jc w:val="distribute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四、警察局交通警察隊、保安警察隊及各警察分局執行稽查取締。</w:t>
      </w:r>
    </w:p>
    <w:sectPr w:rsidR="00DF578B">
      <w:footerReference w:type="default" r:id="rId7"/>
      <w:pgSz w:w="11907" w:h="16840"/>
      <w:pgMar w:top="709" w:right="1134" w:bottom="426" w:left="1134" w:header="0" w:footer="56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644F18" w14:textId="77777777" w:rsidR="00846D25" w:rsidRDefault="00846D25">
      <w:r>
        <w:separator/>
      </w:r>
    </w:p>
  </w:endnote>
  <w:endnote w:type="continuationSeparator" w:id="0">
    <w:p w14:paraId="14EE04A7" w14:textId="77777777" w:rsidR="00846D25" w:rsidRDefault="00846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金梅中圓體">
    <w:altName w:val="新細明體"/>
    <w:charset w:val="88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新細明體"/>
    <w:panose1 w:val="00000000000000000000"/>
    <w:charset w:val="88"/>
    <w:family w:val="roman"/>
    <w:notTrueType/>
    <w:pitch w:val="default"/>
  </w:font>
  <w:font w:name="Arial Unicode MS">
    <w:altName w:val="Liberation Sans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DC53C" w14:textId="77777777" w:rsidR="00DF578B" w:rsidRDefault="00000000">
    <w:pPr>
      <w:pStyle w:val="ac"/>
      <w:ind w:right="360"/>
      <w:jc w:val="center"/>
    </w:pPr>
    <w:r>
      <w:rPr>
        <w:rFonts w:ascii="標楷體" w:eastAsia="標楷體" w:hAnsi="標楷體"/>
      </w:rPr>
      <w:t xml:space="preserve">- </w:t>
    </w:r>
    <w:r>
      <w:rPr>
        <w:rFonts w:ascii="標楷體" w:eastAsia="標楷體" w:hAnsi="標楷體"/>
      </w:rP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  <w:r>
      <w:rPr>
        <w:rFonts w:ascii="標楷體" w:eastAsia="標楷體" w:hAnsi="標楷體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5A6D5E" w14:textId="77777777" w:rsidR="00846D25" w:rsidRDefault="00846D25">
      <w:r>
        <w:separator/>
      </w:r>
    </w:p>
  </w:footnote>
  <w:footnote w:type="continuationSeparator" w:id="0">
    <w:p w14:paraId="2065D92B" w14:textId="77777777" w:rsidR="00846D25" w:rsidRDefault="00846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474D5"/>
    <w:multiLevelType w:val="multilevel"/>
    <w:tmpl w:val="ADD0934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94791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8B"/>
    <w:rsid w:val="001A6CF1"/>
    <w:rsid w:val="001C79B7"/>
    <w:rsid w:val="001F7DAE"/>
    <w:rsid w:val="002C5105"/>
    <w:rsid w:val="003B077C"/>
    <w:rsid w:val="00482958"/>
    <w:rsid w:val="005038C5"/>
    <w:rsid w:val="00562EAE"/>
    <w:rsid w:val="00792307"/>
    <w:rsid w:val="00846D25"/>
    <w:rsid w:val="00C30CAE"/>
    <w:rsid w:val="00DF578B"/>
    <w:rsid w:val="00EA525A"/>
    <w:rsid w:val="00F9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4299F"/>
  <w15:docId w15:val="{1A29E678-5868-4410-803A-23E2DBCA9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18"/>
    </w:rPr>
  </w:style>
  <w:style w:type="paragraph" w:styleId="1">
    <w:name w:val="heading 1"/>
    <w:basedOn w:val="a"/>
    <w:uiPriority w:val="9"/>
    <w:qFormat/>
    <w:pPr>
      <w:keepNext/>
      <w:numPr>
        <w:numId w:val="1"/>
      </w:numPr>
      <w:spacing w:before="180" w:after="180" w:line="720" w:lineRule="auto"/>
      <w:outlineLvl w:val="0"/>
    </w:pPr>
    <w:rPr>
      <w:rFonts w:ascii="Arial" w:hAnsi="Arial"/>
      <w:b/>
      <w:sz w:val="52"/>
    </w:rPr>
  </w:style>
  <w:style w:type="paragraph" w:styleId="2">
    <w:name w:val="heading 2"/>
    <w:basedOn w:val="a"/>
    <w:uiPriority w:val="9"/>
    <w:semiHidden/>
    <w:unhideWhenUsed/>
    <w:qFormat/>
    <w:pPr>
      <w:keepNext/>
      <w:numPr>
        <w:ilvl w:val="1"/>
        <w:numId w:val="1"/>
      </w:numPr>
      <w:spacing w:line="720" w:lineRule="auto"/>
      <w:outlineLvl w:val="1"/>
    </w:pPr>
    <w:rPr>
      <w:rFonts w:ascii="Arial" w:hAnsi="Arial"/>
      <w:b/>
      <w:sz w:val="48"/>
    </w:rPr>
  </w:style>
  <w:style w:type="paragraph" w:styleId="3">
    <w:name w:val="heading 3"/>
    <w:basedOn w:val="a"/>
    <w:uiPriority w:val="9"/>
    <w:semiHidden/>
    <w:unhideWhenUsed/>
    <w:qFormat/>
    <w:pPr>
      <w:keepNext/>
      <w:numPr>
        <w:ilvl w:val="2"/>
        <w:numId w:val="1"/>
      </w:numPr>
      <w:spacing w:line="720" w:lineRule="auto"/>
      <w:outlineLvl w:val="2"/>
    </w:pPr>
    <w:rPr>
      <w:rFonts w:ascii="Arial" w:hAnsi="Arial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customStyle="1" w:styleId="a4">
    <w:name w:val="網際網路連結"/>
    <w:rPr>
      <w:color w:val="0000FF"/>
      <w:u w:val="single"/>
    </w:rPr>
  </w:style>
  <w:style w:type="character" w:styleId="a5">
    <w:name w:val="FollowedHyperlink"/>
    <w:qFormat/>
    <w:rPr>
      <w:color w:val="800080"/>
      <w:u w:val="single"/>
    </w:rPr>
  </w:style>
  <w:style w:type="character" w:styleId="a6">
    <w:name w:val="annotation reference"/>
    <w:qFormat/>
    <w:rPr>
      <w:sz w:val="18"/>
      <w:szCs w:val="18"/>
    </w:rPr>
  </w:style>
  <w:style w:type="character" w:customStyle="1" w:styleId="List1Level0">
    <w:name w:val="List1Level0"/>
    <w:qFormat/>
    <w:rPr>
      <w:color w:val="000000"/>
    </w:rPr>
  </w:style>
  <w:style w:type="character" w:customStyle="1" w:styleId="List1Level1">
    <w:name w:val="List1Level1"/>
    <w:qFormat/>
  </w:style>
  <w:style w:type="character" w:customStyle="1" w:styleId="List1Level2">
    <w:name w:val="List1Level2"/>
    <w:qFormat/>
  </w:style>
  <w:style w:type="character" w:customStyle="1" w:styleId="List1Level3">
    <w:name w:val="List1Level3"/>
    <w:qFormat/>
  </w:style>
  <w:style w:type="character" w:customStyle="1" w:styleId="List1Level4">
    <w:name w:val="List1Level4"/>
    <w:qFormat/>
  </w:style>
  <w:style w:type="character" w:customStyle="1" w:styleId="List1Level5">
    <w:name w:val="List1Level5"/>
    <w:qFormat/>
  </w:style>
  <w:style w:type="character" w:customStyle="1" w:styleId="List1Level6">
    <w:name w:val="List1Level6"/>
    <w:qFormat/>
  </w:style>
  <w:style w:type="character" w:customStyle="1" w:styleId="List1Level7">
    <w:name w:val="List1Level7"/>
    <w:qFormat/>
  </w:style>
  <w:style w:type="character" w:customStyle="1" w:styleId="List1Level8">
    <w:name w:val="List1Level8"/>
    <w:qFormat/>
  </w:style>
  <w:style w:type="character" w:customStyle="1" w:styleId="a7">
    <w:name w:val="註腳字元"/>
    <w:qFormat/>
  </w:style>
  <w:style w:type="paragraph" w:styleId="a8">
    <w:name w:val="Title"/>
    <w:basedOn w:val="a"/>
    <w:next w:val="a9"/>
    <w:uiPriority w:val="10"/>
    <w:qFormat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styleId="a9">
    <w:name w:val="Body Text"/>
    <w:basedOn w:val="a"/>
    <w:qFormat/>
    <w:pPr>
      <w:spacing w:after="120"/>
    </w:pPr>
  </w:style>
  <w:style w:type="paragraph" w:customStyle="1" w:styleId="10">
    <w:name w:val="無清單1"/>
    <w:qFormat/>
    <w:pPr>
      <w:widowControl w:val="0"/>
    </w:pPr>
  </w:style>
  <w:style w:type="paragraph" w:styleId="aa">
    <w:name w:val="Normal Indent"/>
    <w:basedOn w:val="a"/>
    <w:qFormat/>
    <w:pPr>
      <w:ind w:left="480"/>
    </w:pPr>
  </w:style>
  <w:style w:type="paragraph" w:customStyle="1" w:styleId="11">
    <w:name w:val="樣式1"/>
    <w:basedOn w:val="2"/>
    <w:qFormat/>
    <w:pPr>
      <w:widowControl/>
      <w:numPr>
        <w:ilvl w:val="0"/>
        <w:numId w:val="0"/>
      </w:numPr>
      <w:ind w:left="255"/>
    </w:pPr>
    <w:rPr>
      <w:rFonts w:ascii="金梅中圓體" w:eastAsia="金梅中圓體" w:hAnsi="金梅中圓體"/>
      <w:sz w:val="40"/>
    </w:rPr>
  </w:style>
  <w:style w:type="paragraph" w:styleId="ab">
    <w:name w:val="Plain Text"/>
    <w:basedOn w:val="a"/>
    <w:qFormat/>
    <w:rPr>
      <w:rFonts w:ascii="細明體" w:eastAsia="細明體" w:hAnsi="細明體"/>
    </w:rPr>
  </w:style>
  <w:style w:type="paragraph" w:styleId="ac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d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e">
    <w:name w:val="Document Map"/>
    <w:basedOn w:val="a"/>
    <w:qFormat/>
    <w:pPr>
      <w:shd w:val="clear" w:color="auto" w:fill="000080"/>
    </w:pPr>
    <w:rPr>
      <w:rFonts w:ascii="Arial" w:hAnsi="Arial"/>
    </w:rPr>
  </w:style>
  <w:style w:type="paragraph" w:styleId="af">
    <w:name w:val="Block Text"/>
    <w:basedOn w:val="a"/>
    <w:qFormat/>
    <w:pPr>
      <w:spacing w:line="360" w:lineRule="exact"/>
      <w:ind w:left="374" w:right="113"/>
      <w:outlineLvl w:val="0"/>
    </w:pPr>
    <w:rPr>
      <w:rFonts w:eastAsia="細明體"/>
      <w:spacing w:val="4"/>
    </w:rPr>
  </w:style>
  <w:style w:type="paragraph" w:styleId="af0">
    <w:name w:val="Body Text Indent"/>
    <w:basedOn w:val="a"/>
    <w:qFormat/>
    <w:pPr>
      <w:spacing w:line="360" w:lineRule="exact"/>
      <w:ind w:left="947" w:firstLine="363"/>
    </w:pPr>
    <w:rPr>
      <w:rFonts w:eastAsia="細明體"/>
      <w:spacing w:val="4"/>
    </w:rPr>
  </w:style>
  <w:style w:type="paragraph" w:styleId="af1">
    <w:name w:val="Salutation"/>
    <w:basedOn w:val="a"/>
    <w:rPr>
      <w:rFonts w:eastAsia="細明體"/>
      <w:spacing w:val="4"/>
    </w:rPr>
  </w:style>
  <w:style w:type="paragraph" w:styleId="af2">
    <w:name w:val="Closing"/>
    <w:basedOn w:val="a"/>
    <w:qFormat/>
    <w:pPr>
      <w:ind w:left="4320"/>
    </w:pPr>
    <w:rPr>
      <w:rFonts w:eastAsia="細明體"/>
      <w:spacing w:val="4"/>
    </w:rPr>
  </w:style>
  <w:style w:type="paragraph" w:styleId="af3">
    <w:name w:val="List"/>
    <w:basedOn w:val="a"/>
    <w:pPr>
      <w:ind w:left="480" w:hanging="480"/>
    </w:pPr>
  </w:style>
  <w:style w:type="paragraph" w:styleId="30">
    <w:name w:val="List Bullet 3"/>
    <w:basedOn w:val="a"/>
    <w:pPr>
      <w:ind w:left="960" w:hanging="480"/>
    </w:pPr>
  </w:style>
  <w:style w:type="paragraph" w:styleId="af4">
    <w:name w:val="caption"/>
    <w:basedOn w:val="a"/>
    <w:qFormat/>
    <w:pPr>
      <w:spacing w:before="120" w:after="120"/>
    </w:pPr>
  </w:style>
  <w:style w:type="paragraph" w:styleId="20">
    <w:name w:val="Body Text First Indent 2"/>
    <w:basedOn w:val="af0"/>
    <w:qFormat/>
    <w:pPr>
      <w:spacing w:after="120" w:line="240" w:lineRule="auto"/>
      <w:ind w:left="480" w:firstLine="210"/>
    </w:pPr>
    <w:rPr>
      <w:rFonts w:eastAsia="新細明體"/>
      <w:spacing w:val="0"/>
      <w:sz w:val="24"/>
    </w:rPr>
  </w:style>
  <w:style w:type="paragraph" w:styleId="21">
    <w:name w:val="Body Text Indent 2"/>
    <w:basedOn w:val="a"/>
    <w:qFormat/>
    <w:pPr>
      <w:spacing w:line="360" w:lineRule="exact"/>
      <w:ind w:left="743" w:hanging="374"/>
      <w:jc w:val="distribute"/>
    </w:pPr>
    <w:rPr>
      <w:rFonts w:ascii="新細明體" w:hAnsi="新細明體"/>
      <w:spacing w:val="4"/>
    </w:rPr>
  </w:style>
  <w:style w:type="paragraph" w:styleId="31">
    <w:name w:val="Body Text Indent 3"/>
    <w:basedOn w:val="a"/>
    <w:qFormat/>
    <w:pPr>
      <w:spacing w:line="360" w:lineRule="exact"/>
      <w:ind w:left="907" w:firstLine="363"/>
      <w:jc w:val="distribute"/>
    </w:pPr>
    <w:rPr>
      <w:rFonts w:ascii="新細明體" w:hAnsi="新細明體"/>
    </w:rPr>
  </w:style>
  <w:style w:type="paragraph" w:styleId="Web">
    <w:name w:val="Normal (Web)"/>
    <w:basedOn w:val="a"/>
    <w:qFormat/>
    <w:pPr>
      <w:widowControl/>
      <w:spacing w:before="280" w:after="280"/>
    </w:pPr>
    <w:rPr>
      <w:rFonts w:ascii="新細明體" w:hAnsi="新細明體"/>
      <w:sz w:val="24"/>
      <w:szCs w:val="24"/>
    </w:rPr>
  </w:style>
  <w:style w:type="paragraph" w:styleId="22">
    <w:name w:val="Body Text 2"/>
    <w:basedOn w:val="a"/>
    <w:qFormat/>
    <w:pPr>
      <w:tabs>
        <w:tab w:val="left" w:pos="1422"/>
      </w:tabs>
      <w:autoSpaceDE w:val="0"/>
      <w:spacing w:line="320" w:lineRule="exact"/>
      <w:jc w:val="distribute"/>
    </w:pPr>
    <w:rPr>
      <w:rFonts w:ascii="新細明體" w:hAnsi="新細明體"/>
    </w:rPr>
  </w:style>
  <w:style w:type="paragraph" w:styleId="32">
    <w:name w:val="Body Text 3"/>
    <w:basedOn w:val="a"/>
    <w:qFormat/>
    <w:pPr>
      <w:spacing w:line="360" w:lineRule="exact"/>
    </w:pPr>
    <w:rPr>
      <w:rFonts w:ascii="標楷體" w:eastAsia="標楷體" w:hAnsi="標楷體"/>
      <w:sz w:val="24"/>
    </w:rPr>
  </w:style>
  <w:style w:type="paragraph" w:customStyle="1" w:styleId="af5">
    <w:name w:val="綱要標題"/>
    <w:basedOn w:val="af1"/>
    <w:qFormat/>
    <w:rPr>
      <w:rFonts w:eastAsia="全真楷書"/>
      <w:color w:val="000080"/>
      <w:spacing w:val="0"/>
      <w:sz w:val="24"/>
    </w:rPr>
  </w:style>
  <w:style w:type="paragraph" w:styleId="af6">
    <w:name w:val="annotation text"/>
    <w:basedOn w:val="a"/>
    <w:qFormat/>
    <w:rPr>
      <w:sz w:val="24"/>
      <w:szCs w:val="24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全真楷書"/>
      <w:sz w:val="20"/>
    </w:rPr>
  </w:style>
  <w:style w:type="paragraph" w:customStyle="1" w:styleId="af7">
    <w:name w:val="行文機關"/>
    <w:basedOn w:val="a"/>
    <w:qFormat/>
    <w:rPr>
      <w:rFonts w:eastAsia="標楷體"/>
      <w:sz w:val="28"/>
    </w:rPr>
  </w:style>
  <w:style w:type="paragraph" w:customStyle="1" w:styleId="af8">
    <w:name w:val="主旨"/>
    <w:basedOn w:val="a"/>
    <w:qFormat/>
    <w:pPr>
      <w:ind w:left="1077" w:hanging="1077"/>
    </w:pPr>
    <w:rPr>
      <w:rFonts w:eastAsia="標楷體"/>
      <w:sz w:val="36"/>
    </w:rPr>
  </w:style>
  <w:style w:type="paragraph" w:customStyle="1" w:styleId="af9">
    <w:name w:val="發文日期"/>
    <w:basedOn w:val="a"/>
    <w:qFormat/>
    <w:rPr>
      <w:rFonts w:eastAsia="標楷體"/>
      <w:sz w:val="28"/>
    </w:rPr>
  </w:style>
  <w:style w:type="paragraph" w:styleId="afa">
    <w:name w:val="Balloon Text"/>
    <w:basedOn w:val="a"/>
    <w:qFormat/>
    <w:rPr>
      <w:rFonts w:ascii="Arial" w:hAnsi="Arial"/>
      <w:szCs w:val="18"/>
    </w:rPr>
  </w:style>
  <w:style w:type="paragraph" w:customStyle="1" w:styleId="afb">
    <w:name w:val="說明辦法首行"/>
    <w:basedOn w:val="a"/>
    <w:qFormat/>
    <w:pPr>
      <w:ind w:left="1077" w:hanging="1077"/>
    </w:pPr>
    <w:rPr>
      <w:rFonts w:eastAsia="標楷體"/>
      <w:sz w:val="36"/>
    </w:rPr>
  </w:style>
  <w:style w:type="paragraph" w:customStyle="1" w:styleId="afc">
    <w:name w:val="(一)"/>
    <w:basedOn w:val="a"/>
    <w:qFormat/>
    <w:pPr>
      <w:spacing w:line="400" w:lineRule="atLeast"/>
      <w:ind w:left="454" w:hanging="227"/>
      <w:jc w:val="distribute"/>
    </w:pPr>
    <w:rPr>
      <w:rFonts w:eastAsia="細明體"/>
      <w:b/>
      <w:sz w:val="22"/>
    </w:rPr>
  </w:style>
  <w:style w:type="paragraph" w:customStyle="1" w:styleId="afd">
    <w:name w:val="發文字號"/>
    <w:basedOn w:val="a"/>
    <w:qFormat/>
    <w:rPr>
      <w:rFonts w:eastAsia="標楷體"/>
      <w:sz w:val="28"/>
    </w:rPr>
  </w:style>
  <w:style w:type="paragraph" w:customStyle="1" w:styleId="cjk">
    <w:name w:val="cjk"/>
    <w:basedOn w:val="a"/>
    <w:qFormat/>
    <w:pPr>
      <w:widowControl/>
      <w:spacing w:before="280" w:after="119"/>
    </w:pPr>
    <w:rPr>
      <w:rFonts w:ascii="新細明體" w:hAnsi="新細明體" w:cs="新細明體"/>
      <w:sz w:val="24"/>
      <w:szCs w:val="24"/>
    </w:rPr>
  </w:style>
  <w:style w:type="paragraph" w:customStyle="1" w:styleId="afe">
    <w:name w:val="表格內容"/>
    <w:basedOn w:val="a"/>
    <w:qFormat/>
    <w:pPr>
      <w:suppressLineNumbers/>
    </w:pPr>
  </w:style>
  <w:style w:type="numbering" w:customStyle="1" w:styleId="LS1">
    <w:name w:val="LS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葉永騰</dc:creator>
  <cp:lastModifiedBy>葉永騰</cp:lastModifiedBy>
  <cp:revision>4</cp:revision>
  <cp:lastPrinted>2024-12-12T03:57:00Z</cp:lastPrinted>
  <dcterms:created xsi:type="dcterms:W3CDTF">2024-12-09T09:01:00Z</dcterms:created>
  <dcterms:modified xsi:type="dcterms:W3CDTF">2024-12-12T03:57:00Z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2017-10-27T03:24:00Z</dcterms:created>
  <dc:creator>user</dc:creator>
  <dc:description/>
  <dc:language>zh-TW</dc:language>
  <cp:lastModifiedBy/>
  <cp:lastPrinted>2018-06-13T01:40:00Z</cp:lastPrinted>
  <dcterms:modified xsi:type="dcterms:W3CDTF">2020-07-28T11:32:12Z</dcterms:modified>
  <cp:revision>27</cp:revision>
  <dc:subject/>
  <dc:title>花蓮縣政府  令</dc:title>
</cp:coreProperties>
</file>